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eastAsia"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附件1-3</w:t>
      </w:r>
    </w:p>
    <w:p>
      <w:pPr>
        <w:shd w:val="solid" w:color="FFFFFF" w:fill="auto"/>
        <w:topLinePunct/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</w:pPr>
    </w:p>
    <w:p>
      <w:pPr>
        <w:shd w:val="solid" w:color="FFFFFF" w:fill="auto"/>
        <w:topLinePunct/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2022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年湖南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科技大学潇湘学院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“诵读中国”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经典诵读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竞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赛</w:t>
      </w:r>
      <w:r>
        <w:rPr>
          <w:rFonts w:hint="eastAsia" w:ascii="方正小标宋简体" w:hAnsi="Times New Roman" w:eastAsia="方正小标宋简体"/>
          <w:color w:val="auto"/>
          <w:kern w:val="0"/>
          <w:sz w:val="44"/>
          <w:szCs w:val="44"/>
          <w:shd w:val="clear" w:color="auto" w:fill="FFFFFF"/>
        </w:rPr>
        <w:t>参赛作品评分标准</w:t>
      </w:r>
    </w:p>
    <w:p>
      <w:pPr>
        <w:shd w:val="clear" w:color="auto" w:fill="FFFFFF"/>
        <w:spacing w:line="560" w:lineRule="exact"/>
        <w:ind w:firstLine="585"/>
        <w:rPr>
          <w:rFonts w:ascii="Times New Roman" w:hAnsi="Times New Roman"/>
          <w:color w:val="auto"/>
          <w:kern w:val="0"/>
          <w:sz w:val="28"/>
          <w:szCs w:val="28"/>
          <w:shd w:val="clear" w:color="auto" w:fill="FFFFFF"/>
        </w:rPr>
      </w:pPr>
    </w:p>
    <w:p>
      <w:pPr>
        <w:pStyle w:val="6"/>
        <w:shd w:val="clear" w:color="auto" w:fill="FFFFFF"/>
        <w:spacing w:line="560" w:lineRule="exact"/>
        <w:ind w:left="615" w:firstLine="0" w:firstLineChars="0"/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一、作品内容30分</w:t>
      </w:r>
    </w:p>
    <w:p>
      <w:pPr>
        <w:pStyle w:val="3"/>
        <w:spacing w:beforeAutospacing="0" w:afterAutospacing="0" w:line="560" w:lineRule="exact"/>
        <w:ind w:firstLine="641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朗诵作品必须按方案参赛篇目要求选取，内容健康向上，给人以积极的思想启迪和美的艺术享受。　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二、语言表现30分</w:t>
      </w:r>
    </w:p>
    <w:p>
      <w:pPr>
        <w:pStyle w:val="3"/>
        <w:spacing w:beforeAutospacing="0" w:afterAutospacing="0" w:line="560" w:lineRule="exact"/>
        <w:ind w:firstLine="641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普通话标准，语言准确，吐字清晰，朗诵技巧娴熟，基调恰当，感情真挚饱满，富于表现力和感染力。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三、表现形式30分</w:t>
      </w:r>
    </w:p>
    <w:p>
      <w:pPr>
        <w:pStyle w:val="3"/>
        <w:spacing w:beforeAutospacing="0" w:afterAutospacing="0" w:line="560" w:lineRule="exact"/>
        <w:ind w:firstLine="641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对作品的理解准确，衣着与朗诵内容相协调，姿态、表情等态势语言与经典内涵表达相得益彰，表演与朗诵融为一体。</w:t>
      </w:r>
    </w:p>
    <w:p>
      <w:pPr>
        <w:shd w:val="clear" w:color="auto" w:fill="FFFFFF"/>
        <w:spacing w:line="560" w:lineRule="exact"/>
        <w:ind w:firstLine="600"/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四、创意创新10分</w:t>
      </w:r>
    </w:p>
    <w:p>
      <w:pPr>
        <w:shd w:val="clear" w:color="auto" w:fill="FFFFFF"/>
        <w:spacing w:line="560" w:lineRule="exac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 xml:space="preserve"> 朗诵形式独特新颖、表现手段丰富多样，舞美设计和节目编排能增强经典诵读的感染力。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7485E"/>
    <w:rsid w:val="365F6253"/>
    <w:rsid w:val="4DD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2022-06-07T02:06:00Z</dcterms:created>
  <dc:creator>聂志军</dc:creator>
  <cp:lastModifiedBy>聂志军</cp:lastModifiedBy>
  <dcterms:modified xsi:type="dcterms:W3CDTF">2022-06-07T02:14:57Z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9CAE7462368F4F4FB518E6ED6CBECBFA</vt:lpwstr>
  </property>
</Properties>
</file>